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AB5" w:rsidRDefault="003D1A05" w:rsidP="0059749F">
      <w:pPr>
        <w:spacing w:after="0" w:line="240" w:lineRule="auto"/>
        <w:jc w:val="center"/>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PHỤ LỤC 02</w:t>
      </w:r>
    </w:p>
    <w:p w:rsidR="00F54AB5" w:rsidRDefault="003D1A05" w:rsidP="0059749F">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BỘ TIÊU CHÍ QUẢN LÝ ĐỐI VỚI TỪNG LOẠI HÌNH QUẢNG CÁO</w:t>
      </w:r>
    </w:p>
    <w:p w:rsidR="00F54AB5" w:rsidRDefault="003D1A05">
      <w:pPr>
        <w:spacing w:before="100" w:beforeAutospacing="1" w:after="100" w:afterAutospacing="1"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i/>
          <w:iCs/>
          <w:sz w:val="28"/>
          <w:szCs w:val="28"/>
        </w:rPr>
        <w:t>(Kèm theo Đề án phát triển hoạt động quảng cáo trên địa bàn thành phố Hà Nội đến năm 2030, tầm nhìn đến năm 2045)</w:t>
      </w:r>
    </w:p>
    <w:p w:rsidR="00F54AB5" w:rsidRDefault="003D1A05" w:rsidP="0059749F">
      <w:pPr>
        <w:spacing w:before="120" w:after="120"/>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NGUYÊN TẮC CHUNG</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Nguyên tắc về chức năng không gian</w:t>
      </w:r>
    </w:p>
    <w:p w:rsidR="00F54AB5" w:rsidRDefault="003D1A05" w:rsidP="0059749F">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Việc bố trí quảng </w:t>
      </w:r>
      <w:r>
        <w:rPr>
          <w:rFonts w:ascii="Times New Roman" w:eastAsia="Times New Roman" w:hAnsi="Times New Roman" w:cs="Times New Roman"/>
          <w:sz w:val="28"/>
          <w:szCs w:val="28"/>
        </w:rPr>
        <w:t>cáo phải phù hợp với chức năng sử dụng đất, tính chất không gian và định hướng phát triển của từng khu vực; không áp dụng một tiêu chuẩn chung cho toàn Thành phố.</w:t>
      </w:r>
    </w:p>
    <w:p w:rsidR="00F54AB5" w:rsidRDefault="003D1A05" w:rsidP="0059749F">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Không gian chính trị, hành chính, di sản, văn hóa, thương mại, dịch vụ, giao thông, đô thị mớ</w:t>
      </w:r>
      <w:r>
        <w:rPr>
          <w:rFonts w:ascii="Times New Roman" w:eastAsia="Times New Roman" w:hAnsi="Times New Roman" w:cs="Times New Roman"/>
          <w:sz w:val="28"/>
          <w:szCs w:val="28"/>
        </w:rPr>
        <w:t>i, công nghiệp, du lịch và không gian công cộng được áp dụng các yêu cầu quản lý khác nhau.</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Nguyên tắc về tổ chức không gian</w:t>
      </w:r>
    </w:p>
    <w:p w:rsidR="00F54AB5" w:rsidRDefault="003D1A05" w:rsidP="0059749F">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phải được tổ chức theo </w:t>
      </w:r>
      <w:r>
        <w:rPr>
          <w:rFonts w:ascii="Times New Roman" w:eastAsia="Times New Roman" w:hAnsi="Times New Roman" w:cs="Times New Roman"/>
          <w:sz w:val="28"/>
          <w:szCs w:val="28"/>
        </w:rPr>
        <w:t>tuyến phố, trục không gian, cụm không gian và điểm quảng cáo, bảo đảm:</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Không che chắn công trìn</w:t>
      </w:r>
      <w:r>
        <w:rPr>
          <w:rFonts w:ascii="Times New Roman" w:eastAsia="Times New Roman" w:hAnsi="Times New Roman" w:cs="Times New Roman"/>
          <w:sz w:val="28"/>
          <w:szCs w:val="28"/>
        </w:rPr>
        <w:t xml:space="preserve">h kiến trúc;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mất các khoảng mở đô thị;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các trục nhìn quan trọng;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phá vỡ cảnh quan;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Đồng bộ với cây xanh, chiếu sáng, quảng trường và không gian công cộng;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tạo mật độ quảng cáo quá cao. </w:t>
      </w:r>
    </w:p>
    <w:p w:rsidR="00F54AB5" w:rsidRDefault="003D1A05" w:rsidP="0059749F">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nguyên tắc này phù hợp </w:t>
      </w:r>
      <w:r>
        <w:rPr>
          <w:rFonts w:ascii="Times New Roman" w:eastAsia="Times New Roman" w:hAnsi="Times New Roman" w:cs="Times New Roman"/>
          <w:sz w:val="28"/>
          <w:szCs w:val="28"/>
        </w:rPr>
        <w:t xml:space="preserve">với hệ tiêu chí đã được xác định trong Đề án.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Nguyên tắc về kiến trúc, mỹ quan</w:t>
      </w:r>
    </w:p>
    <w:p w:rsidR="00F54AB5" w:rsidRDefault="003D1A05" w:rsidP="0059749F">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Công trình quảng cáo phải được xem là một thành phần của không gian kiến trúc đô thị; bảo đảm:</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Tỷ lệ phù hợp với công trình;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Hình thức thiết kế thống nhất;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Màu sắc hài hòa;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Vật liệu phù hợp;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Ánh sáng phù hợp;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ô nhiễm thị giác;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chi tiết kiến trúc có giá trị;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biến dạng mặt đứng công trình.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Nguyên tắc về an toàn</w:t>
      </w:r>
    </w:p>
    <w:p w:rsidR="00F54AB5" w:rsidRDefault="003D1A05" w:rsidP="0059749F">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Mọi công trình, phương tiện quảng cáo phải bảo đảm:</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kết cấu;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điện;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Phòng cháy, chữa cháy;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giao thông;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người đi bộ;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công trình hạ tầng;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hành lang kỹ thuật;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phương án bảo trì, kiểm tra và xử lý sự cố.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 Nguyên tắc về môi trườn</w:t>
      </w:r>
      <w:r>
        <w:rPr>
          <w:rFonts w:ascii="Times New Roman" w:eastAsia="Times New Roman" w:hAnsi="Times New Roman" w:cs="Times New Roman"/>
          <w:b/>
          <w:bCs/>
          <w:sz w:val="28"/>
          <w:szCs w:val="28"/>
        </w:rPr>
        <w:t>g</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ô nhiễm ánh sáng;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ô nhiễm tiếng ồn;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Sử dụng thiết bị tiết kiệm năng lượng;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vật liệu thân thiện môi trường;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vật liệu có khả năng tái chế;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Giảm phát thải trong quá trình vận hành.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6. Nguyên tắc về công </w:t>
      </w:r>
      <w:r>
        <w:rPr>
          <w:rFonts w:ascii="Times New Roman" w:eastAsia="Times New Roman" w:hAnsi="Times New Roman" w:cs="Times New Roman"/>
          <w:b/>
          <w:bCs/>
          <w:sz w:val="28"/>
          <w:szCs w:val="28"/>
        </w:rPr>
        <w:t>nghệ</w:t>
      </w:r>
    </w:p>
    <w:p w:rsidR="00F54AB5" w:rsidRDefault="003D1A05" w:rsidP="0059749F">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Khuyến khích:</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DOOH;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LED thế hệ mới;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3D;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IoT;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Điều khiển tập trung;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Giám sát từ xa;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nghệ tiết kiệm năng lượng. </w:t>
      </w:r>
    </w:p>
    <w:p w:rsidR="00F54AB5" w:rsidRDefault="003D1A05" w:rsidP="0059749F">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cũng là nhóm công nghệ được Đề án xác định là hướng ưu tiên. </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II. TIÊU CHÍ ĐỐI VỚI TỪNG LOẠI HÌNH QUẢNG CÁO</w:t>
      </w:r>
    </w:p>
    <w:p w:rsidR="00F54AB5" w:rsidRDefault="003D1A05" w:rsidP="0059749F">
      <w:pPr>
        <w:spacing w:before="120" w:after="120"/>
        <w:ind w:firstLine="720"/>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Pr>
          <w:rFonts w:ascii="Times New Roman" w:eastAsia="Times New Roman" w:hAnsi="Times New Roman" w:cs="Times New Roman"/>
          <w:b/>
          <w:bCs/>
          <w:sz w:val="28"/>
          <w:szCs w:val="28"/>
        </w:rPr>
        <w:t>Bảng, biển quảng cáo độc lập – Pano, Billboard</w:t>
      </w:r>
    </w:p>
    <w:p w:rsidR="00F54AB5" w:rsidRDefault="003D1A05" w:rsidP="0059749F">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vị trí</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Chỉ bố trí tại các khu vực, tuyến đường được xác định trong danh mục phân vùng;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bố trí tại khu vực cấm hoặc khu vực có yêu cầu bảo vệ đặc biệt;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công trình kiến trúc, di tích, biển báo giao thông;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tầm nhìn tại nút giao, đường cong, cầu, hầm và các vị trí nguy hiểm. </w:t>
      </w:r>
    </w:p>
    <w:p w:rsidR="00F54AB5" w:rsidRDefault="003D1A05" w:rsidP="0059749F">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không gian</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Khoảng cách giữa các bảng phải bảo đảm không tạo thành dải quảng cáo dày đặc;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w:t>
      </w:r>
      <w:r>
        <w:rPr>
          <w:rFonts w:ascii="Times New Roman" w:eastAsia="Times New Roman" w:hAnsi="Times New Roman" w:cs="Times New Roman"/>
          <w:sz w:val="28"/>
          <w:szCs w:val="28"/>
        </w:rPr>
        <w:t xml:space="preserve">ông bố trí nhiều bảng có kích thước lớn liên tiếp gây ô nhiễm thị giác; </w:t>
      </w:r>
    </w:p>
    <w:p w:rsidR="00F54AB5" w:rsidRDefault="003D1A05" w:rsidP="0059749F">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tổ chức thành cụm có thiết kế thống nhất. </w:t>
      </w:r>
    </w:p>
    <w:p w:rsidR="00F54AB5" w:rsidRDefault="003D1A05" w:rsidP="0059749F">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kiến trúc</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Kết cấu gọn;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Hình thức hiện đại;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màu sắc, hình thức gây xung đột với cảnh quan;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Khu vực di sản p</w:t>
      </w:r>
      <w:r>
        <w:rPr>
          <w:rFonts w:ascii="Times New Roman" w:eastAsia="Times New Roman" w:hAnsi="Times New Roman" w:cs="Times New Roman"/>
          <w:sz w:val="28"/>
          <w:szCs w:val="28"/>
        </w:rPr>
        <w:t xml:space="preserve">hải sử dụng thiết kế phù hợp với đặc trưng kiến trúc.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an toàn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hồ sơ thiết kế kết cấu;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khả năng chịu lực;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trong điều kiện mưa bão, gió lớn; </w:t>
      </w:r>
    </w:p>
    <w:p w:rsidR="00F54AB5" w:rsidRPr="00C862B8"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Không ảnh hưởng hành lang giao thông và hạ tầng kỹ thuật. </w:t>
      </w:r>
    </w:p>
    <w:p w:rsidR="00F54AB5" w:rsidRDefault="003D1A05" w:rsidP="00C862B8">
      <w:pPr>
        <w:spacing w:before="120" w:after="120"/>
        <w:ind w:firstLine="720"/>
        <w:outlineLvl w:val="1"/>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2. Quảng cáo gắn trên công</w:t>
      </w:r>
      <w:r>
        <w:rPr>
          <w:rFonts w:ascii="Times New Roman" w:eastAsia="Times New Roman" w:hAnsi="Times New Roman" w:cs="Times New Roman"/>
          <w:b/>
          <w:bCs/>
          <w:kern w:val="36"/>
          <w:sz w:val="28"/>
          <w:szCs w:val="28"/>
        </w:rPr>
        <w:t xml:space="preserve"> trình xây dựng</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bắt buộc</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Phù hợp quy hoạch, kiến trúc công trình;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cửa sổ, ban công, lối thoát hiểm;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các chi tiết kiến trúc có giá trị;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kết cấu công trình;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cản trở công tác phòng cháy, chữa cháy. </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công trình có giá trị kiến trúc</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Biển hiệu nhỏ, tinh giản;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Thiết kế đồng bộ;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bảng kích thước lớn;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màn hình LED;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soát đặc biệt về màu sắc, ánh sáng. </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Đối với công </w:t>
      </w:r>
      <w:r>
        <w:rPr>
          <w:rFonts w:ascii="Times New Roman" w:eastAsia="Times New Roman" w:hAnsi="Times New Roman" w:cs="Times New Roman"/>
          <w:b/>
          <w:bCs/>
          <w:sz w:val="28"/>
          <w:szCs w:val="28"/>
        </w:rPr>
        <w:t>trình đang thi công</w:t>
      </w:r>
    </w:p>
    <w:p w:rsidR="00F54AB5" w:rsidRDefault="003D1A05" w:rsidP="00C862B8">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Có thể xem xét:</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Pano che chắn công trường;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hàng rào;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hệ thống bao che công trình; </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nhưng phải bảo đảm an toàn công trường và không tạo hình ảnh nhếch nhác, tạm bợ.</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3. Biển hiệu và quảng cáo tại cơ sở kinh</w:t>
      </w:r>
      <w:r>
        <w:rPr>
          <w:rFonts w:ascii="Times New Roman" w:eastAsia="Times New Roman" w:hAnsi="Times New Roman" w:cs="Times New Roman"/>
          <w:b/>
          <w:bCs/>
          <w:kern w:val="36"/>
          <w:sz w:val="28"/>
          <w:szCs w:val="28"/>
        </w:rPr>
        <w:t xml:space="preserve"> doanh, dịch vụ</w:t>
      </w:r>
    </w:p>
    <w:p w:rsidR="00F54AB5" w:rsidRDefault="003D1A05" w:rsidP="00C862B8">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nhóm </w:t>
      </w:r>
      <w:r>
        <w:rPr>
          <w:rFonts w:ascii="Times New Roman" w:eastAsia="Times New Roman" w:hAnsi="Times New Roman" w:cs="Times New Roman"/>
          <w:sz w:val="28"/>
          <w:szCs w:val="28"/>
        </w:rPr>
        <w:t>cần tách rõ biển hiệu với quảng cáo thương mại,</w:t>
      </w:r>
      <w:r>
        <w:rPr>
          <w:rFonts w:ascii="Times New Roman" w:eastAsia="Times New Roman" w:hAnsi="Times New Roman" w:cs="Times New Roman"/>
          <w:sz w:val="28"/>
          <w:szCs w:val="28"/>
        </w:rPr>
        <w:t xml:space="preserve"> tránh quản lý chồng chéo.</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Phù hợp mặt đứng công trình;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chắn kiến trúc;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Không vượt quá phạm vi mặt bằng, công trình của cơ sở;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lấn chiếm không gian công cộng;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tạo mật độ biển hiệu quá lớn;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Đồng bộ theo từng tuyến phố.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phố cổ, phố cũ</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Biển hiệu có kích thước phù hợp;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Vật liệu, màu sắc hài hòa;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Thiết kế đồng bộ theo tuyến;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biển hộp kích thước lớn;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màn hình LED;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ánh sáng gây chói.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trung tâm thương mại, khu đô thị mới</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Có thể áp dụng:</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nhận diện thương hiệu;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Biển hiệu kỹ thuật số;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LED;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tương tác; </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nhưng phải </w:t>
      </w:r>
      <w:r>
        <w:rPr>
          <w:rFonts w:ascii="Times New Roman" w:eastAsia="Times New Roman" w:hAnsi="Times New Roman" w:cs="Times New Roman"/>
          <w:sz w:val="28"/>
          <w:szCs w:val="28"/>
        </w:rPr>
        <w:t>tuân thủ thiết kế tổng thể của công trình/khu đô thị.</w:t>
      </w:r>
    </w:p>
    <w:p w:rsidR="00F54AB5" w:rsidRDefault="00C862B8"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4. Quảng cáo số -</w:t>
      </w:r>
      <w:r w:rsidR="003D1A05">
        <w:rPr>
          <w:rFonts w:ascii="Times New Roman" w:eastAsia="Times New Roman" w:hAnsi="Times New Roman" w:cs="Times New Roman"/>
          <w:b/>
          <w:bCs/>
          <w:kern w:val="36"/>
          <w:sz w:val="28"/>
          <w:szCs w:val="28"/>
        </w:rPr>
        <w:t xml:space="preserve"> DOOH, LED, LCD, 3D</w:t>
      </w:r>
    </w:p>
    <w:p w:rsidR="00F54AB5" w:rsidRDefault="003D1A05" w:rsidP="00C862B8">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Đây là nhóm cần</w:t>
      </w:r>
      <w:r>
        <w:rPr>
          <w:rFonts w:ascii="Times New Roman" w:eastAsia="Times New Roman" w:hAnsi="Times New Roman" w:cs="Times New Roman"/>
          <w:sz w:val="28"/>
          <w:szCs w:val="28"/>
        </w:rPr>
        <w:t xml:space="preserve"> bộ tiêu chí chặt nhất về công nghệ và môi trường.</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vị trí</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Chỉ bố trí tại các tuyến, khu vực được phép;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tầm nhìn giao thông;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hướng trực tiếp gây chói vào phương tiện;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khu dân cư, bệnh viện, trường học và không gian cần yên tĩnh.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nội dung hiển thị</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Quản lý:</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lượng mỗi nội dung;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Tần suất thay đổi;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Mật độ chuyển cảnh;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Hiệu ứng hình ảnh;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Độ t</w:t>
      </w:r>
      <w:r>
        <w:rPr>
          <w:rFonts w:ascii="Times New Roman" w:eastAsia="Times New Roman" w:hAnsi="Times New Roman" w:cs="Times New Roman"/>
          <w:sz w:val="28"/>
          <w:szCs w:val="28"/>
        </w:rPr>
        <w:t xml:space="preserve">ương phản;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Màu sắc;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Nội dung âm thanh nếu có.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ánh sáng</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khả năng điều chỉnh độ sáng tự động;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chế độ ngày/đêm;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Giảm độ sáng vào ban đêm;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chói, lóa;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ô nhiễm ánh sáng.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công nghệ</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Điều khiển tập trung;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Giám sát từ xa;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IoT;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Tiết kiệm năng lượng;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Theo dõi trạng thái thiết bị theo thời gian thực.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an toàn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điện;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Chống cháy;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Chống sét;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kết cấu;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Có phương án xử lý khi mất điện, sự cố hoặc thiết bị hỏn</w:t>
      </w:r>
      <w:r>
        <w:rPr>
          <w:rFonts w:ascii="Times New Roman" w:eastAsia="Times New Roman" w:hAnsi="Times New Roman" w:cs="Times New Roman"/>
          <w:sz w:val="28"/>
          <w:szCs w:val="28"/>
        </w:rPr>
        <w:t xml:space="preserve">g. </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lastRenderedPageBreak/>
        <w:t>5. Quảng cáo trên hạ tầng giao thông</w:t>
      </w:r>
    </w:p>
    <w:p w:rsidR="00F54AB5" w:rsidRDefault="003D1A05" w:rsidP="00C862B8">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 nhà chờ xe buýt, nhà ga Metro, depot, cầu vượt, hầm đi bộ, bãi đỗ xe, bến xe...</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biển báo;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tầm nhìn;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cản trở người đi bộ;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giảm năng lực khai thác của hạ tầng;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an toàn giao thông;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cản trở lối thoát hiểm;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ảnh hưởng công tác vận hành giao thông.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kỹ thuật số;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kết hợp thông tin công cộng;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gắn với tiện ích đô thị;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thông tin thông minh.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Đặc biệt</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w:t>
      </w:r>
      <w:r>
        <w:rPr>
          <w:rFonts w:ascii="Times New Roman" w:eastAsia="Times New Roman" w:hAnsi="Times New Roman" w:cs="Times New Roman"/>
          <w:b/>
          <w:bCs/>
          <w:sz w:val="28"/>
          <w:szCs w:val="28"/>
        </w:rPr>
        <w:t>nhà chờ xe buýt, ga Metro, bãi đỗ xe và các công trình hạ tầng công cộng</w:t>
      </w:r>
      <w:r>
        <w:rPr>
          <w:rFonts w:ascii="Times New Roman" w:eastAsia="Times New Roman" w:hAnsi="Times New Roman" w:cs="Times New Roman"/>
          <w:sz w:val="28"/>
          <w:szCs w:val="28"/>
        </w:rPr>
        <w:t xml:space="preserve"> cần được thiết kế đồng bộ, tránh tình trạng mỗi vị trí một kiểu.</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6. Quảng cáo trên phương ti</w:t>
      </w:r>
      <w:r>
        <w:rPr>
          <w:rFonts w:ascii="Times New Roman" w:eastAsia="Times New Roman" w:hAnsi="Times New Roman" w:cs="Times New Roman"/>
          <w:b/>
          <w:bCs/>
          <w:kern w:val="36"/>
          <w:sz w:val="28"/>
          <w:szCs w:val="28"/>
        </w:rPr>
        <w:t>ện giao thông</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biển số, đèn, cửa thoát hiểm;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tầm nhìn người điều khiển phương tiện;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hình thức gây mất tập trung;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nhận diện phương tiện giao thông công cộng;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ảnh hưởng mỹ quan đô thị.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xe buýt, taxi, Metro</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Thiết kế nhận diện thống nhất;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theo từng khu vực của phương tiện;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kỹ thuật số trong phương tiện;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kết hợp thông tin công cộng. </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7. Quảng cáo trong côn</w:t>
      </w:r>
      <w:r>
        <w:rPr>
          <w:rFonts w:ascii="Times New Roman" w:eastAsia="Times New Roman" w:hAnsi="Times New Roman" w:cs="Times New Roman"/>
          <w:b/>
          <w:bCs/>
          <w:kern w:val="36"/>
          <w:sz w:val="28"/>
          <w:szCs w:val="28"/>
        </w:rPr>
        <w:t>g viên, quảng trường, phố đi bộ và không gian công cộng</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Phù hợp chức năng không gian;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giảm diện tích sử dụng công cộng;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cản trở người đi bộ;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cây xanh;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tượng đài, công trình nghệ thuật, di tích;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tạo cảm giác thương mại hóa quá mức.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văn hóa;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Du lịch;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Sự kiện của Thành phố;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Nghệ thuật công cộng;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Thông tin cộng đồng;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gắn với tiện ích đô thị.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Vùng I</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thương mại phải được kiểm soát nghiêm ngặt; ưu tiên thông tin công cộng, văn hóa, du lịch và sự kiện. Đây là nguyên tắc đã được xác định rõ trong Đề án đối với khu vực trung tâm chính trị, di sản và Hồ Hoàn Kiếm. </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8. Quảng cáo phục vụ sự kiện, Fe</w:t>
      </w:r>
      <w:r>
        <w:rPr>
          <w:rFonts w:ascii="Times New Roman" w:eastAsia="Times New Roman" w:hAnsi="Times New Roman" w:cs="Times New Roman"/>
          <w:b/>
          <w:bCs/>
          <w:kern w:val="36"/>
          <w:sz w:val="28"/>
          <w:szCs w:val="28"/>
        </w:rPr>
        <w:t>stival, hội chợ, triển lãm, thể thao, chính trị, văn hóa</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phương án tổng thể được cơ quan có thẩm quyền chấp thuận;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Xác định rõ thời gian bắt đầu và kết thúc;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Xác định vị trí, số lượng, kích thước;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cản trở giao thông;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Không ảnh hưở</w:t>
      </w:r>
      <w:r>
        <w:rPr>
          <w:rFonts w:ascii="Times New Roman" w:eastAsia="Times New Roman" w:hAnsi="Times New Roman" w:cs="Times New Roman"/>
          <w:sz w:val="28"/>
          <w:szCs w:val="28"/>
        </w:rPr>
        <w:t xml:space="preserve">ng hoạt động bình thường của khu vực;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Tháo dỡ ngay sau khi kết thúc sự kiện.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sự kiện chính trị, đối ngoại, quốc gia</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Nhận diện sự kiện;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Thông tin chính trị;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Thông tin đối ngoại;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hình ảnh Thủ đô;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Văn hóa, lịch sử và truyền thống. </w:t>
      </w:r>
    </w:p>
    <w:p w:rsidR="00F54AB5" w:rsidRDefault="003D1A05" w:rsidP="00C862B8">
      <w:pPr>
        <w:spacing w:before="120" w:after="12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Không để quảng cáo thương mại lấn át nhận diện của sự kiện.</w:t>
      </w:r>
    </w:p>
    <w:p w:rsidR="00F54AB5" w:rsidRDefault="003D1A05" w:rsidP="0059749F">
      <w:pPr>
        <w:spacing w:before="120" w:after="120"/>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9. Các loại hình quảng cáo mới: Drone, Mapping, Hologram, AR/VR, AI...</w:t>
      </w:r>
    </w:p>
    <w:p w:rsidR="00F54AB5" w:rsidRDefault="003D1A05" w:rsidP="0059749F">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theo 06 tiêu chí:</w:t>
      </w:r>
    </w:p>
    <w:p w:rsidR="00F54AB5" w:rsidRDefault="003D1A05" w:rsidP="00C862B8">
      <w:pPr>
        <w:spacing w:before="120" w:after="120"/>
        <w:ind w:firstLine="7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An toàn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hàng không;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con người;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công trình;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điện;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Phòng cháy, chữa cháy.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Không gian</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Xác định rõ khu vực thực hiện;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gian thực hiện;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Phạm vi tác động;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khu vực cấm, hạn chế.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Môi trường</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Ánh sáng;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Âm thanh;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Tiếng ồn;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Rác thải;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Năng lượng.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Công nghệ</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soát thiết bị;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Khả năng giám sát;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Khả năng dừng khẩn cấp;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an toàn dữ liệu. </w:t>
      </w:r>
    </w:p>
    <w:p w:rsidR="00F54AB5" w:rsidRDefault="003D1A05" w:rsidP="00C862B8">
      <w:pPr>
        <w:spacing w:before="120" w:after="120"/>
        <w:ind w:firstLine="709"/>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 Nội dung</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vi phạm pháp luật;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xâm phạm quyền riêng tư;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Không gâ</w:t>
      </w:r>
      <w:bookmarkStart w:id="0" w:name="_GoBack"/>
      <w:bookmarkEnd w:id="0"/>
      <w:r>
        <w:rPr>
          <w:rFonts w:ascii="Times New Roman" w:eastAsia="Times New Roman" w:hAnsi="Times New Roman" w:cs="Times New Roman"/>
          <w:sz w:val="28"/>
          <w:szCs w:val="28"/>
        </w:rPr>
        <w:t xml:space="preserve">y hiểu nhầm; </w:t>
      </w:r>
    </w:p>
    <w:p w:rsidR="00F54AB5" w:rsidRDefault="003D1A05" w:rsidP="00C862B8">
      <w:pPr>
        <w:numPr>
          <w:ilvl w:val="0"/>
          <w:numId w:val="1"/>
        </w:numPr>
        <w:tabs>
          <w:tab w:val="clear" w:pos="720"/>
          <w:tab w:val="left" w:pos="993"/>
        </w:tabs>
        <w:spacing w:before="120" w:after="120"/>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ảnh hưởng hình ảnh, di sản và bản sắc văn hóa của Thủ đô. </w:t>
      </w:r>
    </w:p>
    <w:p w:rsidR="00F54AB5" w:rsidRDefault="003D1A05" w:rsidP="0059749F">
      <w:pPr>
        <w:spacing w:before="120" w:after="120"/>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 Quản lý thử nghiệm</w:t>
      </w:r>
    </w:p>
    <w:p w:rsidR="00F54AB5" w:rsidRDefault="003D1A05" w:rsidP="00C862B8">
      <w:pPr>
        <w:spacing w:before="120" w:after="12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công nghệ quảng cáo mới có thể được </w:t>
      </w:r>
      <w:r>
        <w:rPr>
          <w:rFonts w:ascii="Times New Roman" w:eastAsia="Times New Roman" w:hAnsi="Times New Roman" w:cs="Times New Roman"/>
          <w:sz w:val="28"/>
          <w:szCs w:val="28"/>
        </w:rPr>
        <w:t>thí điểm tại khu vực phù hợp,</w:t>
      </w:r>
      <w:r>
        <w:rPr>
          <w:rFonts w:ascii="Times New Roman" w:eastAsia="Times New Roman" w:hAnsi="Times New Roman" w:cs="Times New Roman"/>
          <w:sz w:val="28"/>
          <w:szCs w:val="28"/>
        </w:rPr>
        <w:t xml:space="preserve"> đánh giá tác động trước khi mở rộng.</w:t>
      </w:r>
    </w:p>
    <w:p w:rsidR="00F54AB5" w:rsidRDefault="00F54AB5" w:rsidP="0059749F">
      <w:pPr>
        <w:spacing w:before="120" w:after="120"/>
        <w:rPr>
          <w:rFonts w:ascii="Times New Roman" w:hAnsi="Times New Roman" w:cs="Times New Roman"/>
          <w:sz w:val="28"/>
          <w:szCs w:val="28"/>
        </w:rPr>
      </w:pPr>
    </w:p>
    <w:sectPr w:rsidR="00F54AB5" w:rsidSect="0059749F">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A05" w:rsidRDefault="003D1A05">
      <w:pPr>
        <w:spacing w:line="240" w:lineRule="auto"/>
      </w:pPr>
      <w:r>
        <w:separator/>
      </w:r>
    </w:p>
  </w:endnote>
  <w:endnote w:type="continuationSeparator" w:id="0">
    <w:p w:rsidR="003D1A05" w:rsidRDefault="003D1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A05" w:rsidRDefault="003D1A05">
      <w:pPr>
        <w:spacing w:after="0"/>
      </w:pPr>
      <w:r>
        <w:separator/>
      </w:r>
    </w:p>
  </w:footnote>
  <w:footnote w:type="continuationSeparator" w:id="0">
    <w:p w:rsidR="003D1A05" w:rsidRDefault="003D1A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0424"/>
    <w:multiLevelType w:val="multilevel"/>
    <w:tmpl w:val="052504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C000327"/>
    <w:multiLevelType w:val="multilevel"/>
    <w:tmpl w:val="0C0003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F3C1D34"/>
    <w:multiLevelType w:val="multilevel"/>
    <w:tmpl w:val="0F3C1D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04C6D7F"/>
    <w:multiLevelType w:val="multilevel"/>
    <w:tmpl w:val="104C6D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131B1D7F"/>
    <w:multiLevelType w:val="multilevel"/>
    <w:tmpl w:val="131B1D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19F92C22"/>
    <w:multiLevelType w:val="multilevel"/>
    <w:tmpl w:val="19F92C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1D2B28EB"/>
    <w:multiLevelType w:val="multilevel"/>
    <w:tmpl w:val="1D2B28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21310D8D"/>
    <w:multiLevelType w:val="multilevel"/>
    <w:tmpl w:val="21310D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2C613EF9"/>
    <w:multiLevelType w:val="multilevel"/>
    <w:tmpl w:val="2C613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3A8D64FF"/>
    <w:multiLevelType w:val="multilevel"/>
    <w:tmpl w:val="3A8D64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3C332DCF"/>
    <w:multiLevelType w:val="multilevel"/>
    <w:tmpl w:val="3C332D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45F80CA3"/>
    <w:multiLevelType w:val="multilevel"/>
    <w:tmpl w:val="45F80C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46A02E71"/>
    <w:multiLevelType w:val="multilevel"/>
    <w:tmpl w:val="46A02E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47EE42D9"/>
    <w:multiLevelType w:val="multilevel"/>
    <w:tmpl w:val="47EE42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4F5531B1"/>
    <w:multiLevelType w:val="multilevel"/>
    <w:tmpl w:val="4F553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57104085"/>
    <w:multiLevelType w:val="multilevel"/>
    <w:tmpl w:val="571040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581554A1"/>
    <w:multiLevelType w:val="multilevel"/>
    <w:tmpl w:val="581554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5BE470AE"/>
    <w:multiLevelType w:val="multilevel"/>
    <w:tmpl w:val="5BE470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nsid w:val="5DA256F6"/>
    <w:multiLevelType w:val="multilevel"/>
    <w:tmpl w:val="5DA256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604A4A0F"/>
    <w:multiLevelType w:val="multilevel"/>
    <w:tmpl w:val="604A4A0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63C36EC3"/>
    <w:multiLevelType w:val="multilevel"/>
    <w:tmpl w:val="63C36E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667F6DAF"/>
    <w:multiLevelType w:val="multilevel"/>
    <w:tmpl w:val="667F6D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6BA8627B"/>
    <w:multiLevelType w:val="multilevel"/>
    <w:tmpl w:val="6BA862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6D30297A"/>
    <w:multiLevelType w:val="multilevel"/>
    <w:tmpl w:val="6D30297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nsid w:val="6E5F7446"/>
    <w:multiLevelType w:val="multilevel"/>
    <w:tmpl w:val="6E5F744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nsid w:val="740129C6"/>
    <w:multiLevelType w:val="multilevel"/>
    <w:tmpl w:val="740129C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nsid w:val="740379E3"/>
    <w:multiLevelType w:val="multilevel"/>
    <w:tmpl w:val="740379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nsid w:val="76195E0A"/>
    <w:multiLevelType w:val="multilevel"/>
    <w:tmpl w:val="76195E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777C1518"/>
    <w:multiLevelType w:val="multilevel"/>
    <w:tmpl w:val="777C15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783A0E3C"/>
    <w:multiLevelType w:val="multilevel"/>
    <w:tmpl w:val="783A0E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79840502"/>
    <w:multiLevelType w:val="multilevel"/>
    <w:tmpl w:val="798405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7CA80E26"/>
    <w:multiLevelType w:val="multilevel"/>
    <w:tmpl w:val="7CA80E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nsid w:val="7E9D2A14"/>
    <w:multiLevelType w:val="multilevel"/>
    <w:tmpl w:val="7E9D2A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2"/>
  </w:num>
  <w:num w:numId="2">
    <w:abstractNumId w:val="18"/>
  </w:num>
  <w:num w:numId="3">
    <w:abstractNumId w:val="23"/>
  </w:num>
  <w:num w:numId="4">
    <w:abstractNumId w:val="19"/>
  </w:num>
  <w:num w:numId="5">
    <w:abstractNumId w:val="17"/>
  </w:num>
  <w:num w:numId="6">
    <w:abstractNumId w:val="0"/>
  </w:num>
  <w:num w:numId="7">
    <w:abstractNumId w:val="5"/>
  </w:num>
  <w:num w:numId="8">
    <w:abstractNumId w:val="14"/>
  </w:num>
  <w:num w:numId="9">
    <w:abstractNumId w:val="4"/>
  </w:num>
  <w:num w:numId="10">
    <w:abstractNumId w:val="16"/>
  </w:num>
  <w:num w:numId="11">
    <w:abstractNumId w:val="24"/>
  </w:num>
  <w:num w:numId="12">
    <w:abstractNumId w:val="28"/>
  </w:num>
  <w:num w:numId="13">
    <w:abstractNumId w:val="25"/>
  </w:num>
  <w:num w:numId="14">
    <w:abstractNumId w:val="13"/>
  </w:num>
  <w:num w:numId="15">
    <w:abstractNumId w:val="9"/>
  </w:num>
  <w:num w:numId="16">
    <w:abstractNumId w:val="11"/>
  </w:num>
  <w:num w:numId="17">
    <w:abstractNumId w:val="1"/>
  </w:num>
  <w:num w:numId="18">
    <w:abstractNumId w:val="6"/>
  </w:num>
  <w:num w:numId="19">
    <w:abstractNumId w:val="32"/>
  </w:num>
  <w:num w:numId="20">
    <w:abstractNumId w:val="27"/>
  </w:num>
  <w:num w:numId="21">
    <w:abstractNumId w:val="26"/>
  </w:num>
  <w:num w:numId="22">
    <w:abstractNumId w:val="12"/>
  </w:num>
  <w:num w:numId="23">
    <w:abstractNumId w:val="15"/>
  </w:num>
  <w:num w:numId="24">
    <w:abstractNumId w:val="20"/>
  </w:num>
  <w:num w:numId="25">
    <w:abstractNumId w:val="31"/>
  </w:num>
  <w:num w:numId="26">
    <w:abstractNumId w:val="30"/>
  </w:num>
  <w:num w:numId="27">
    <w:abstractNumId w:val="10"/>
  </w:num>
  <w:num w:numId="28">
    <w:abstractNumId w:val="3"/>
  </w:num>
  <w:num w:numId="29">
    <w:abstractNumId w:val="21"/>
  </w:num>
  <w:num w:numId="30">
    <w:abstractNumId w:val="8"/>
  </w:num>
  <w:num w:numId="31">
    <w:abstractNumId w:val="7"/>
  </w:num>
  <w:num w:numId="32">
    <w:abstractNumId w:val="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56E"/>
    <w:rsid w:val="003D1A05"/>
    <w:rsid w:val="0059749F"/>
    <w:rsid w:val="005C256E"/>
    <w:rsid w:val="00C862B8"/>
    <w:rsid w:val="00CA25E1"/>
    <w:rsid w:val="00F54AB5"/>
    <w:rsid w:val="49286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lsdException w:name="Colorful List Accent 1" w:semiHidden="0" w:uiPriority="72"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qFormat="1"/>
    <w:lsdException w:name="Medium Grid 3 Accent 2" w:semiHidden="0" w:uiPriority="69" w:unhideWhenUsed="0" w:qFormat="1"/>
    <w:lsdException w:name="Dark List Accent 2" w:semiHidden="0" w:uiPriority="70" w:unhideWhenUsed="0"/>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qFormat="1"/>
    <w:lsdException w:name="Medium List 2 Accent 3" w:semiHidden="0" w:uiPriority="66" w:unhideWhenUsed="0"/>
    <w:lsdException w:name="Medium Grid 1 Accent 3" w:semiHidden="0" w:uiPriority="67" w:unhideWhenUsed="0"/>
    <w:lsdException w:name="Medium Grid 2 Accent 3" w:semiHidden="0" w:uiPriority="68" w:unhideWhenUsed="0" w:qFormat="1"/>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qFormat="1"/>
    <w:lsdException w:name="Dark List Accent 4" w:semiHidden="0" w:uiPriority="70" w:unhideWhenUsed="0" w:qFormat="1"/>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lsdException w:name="Colorful List Accent 1" w:semiHidden="0" w:uiPriority="72"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qFormat="1"/>
    <w:lsdException w:name="Medium Grid 3 Accent 2" w:semiHidden="0" w:uiPriority="69" w:unhideWhenUsed="0" w:qFormat="1"/>
    <w:lsdException w:name="Dark List Accent 2" w:semiHidden="0" w:uiPriority="70" w:unhideWhenUsed="0"/>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qFormat="1"/>
    <w:lsdException w:name="Medium List 2 Accent 3" w:semiHidden="0" w:uiPriority="66" w:unhideWhenUsed="0"/>
    <w:lsdException w:name="Medium Grid 1 Accent 3" w:semiHidden="0" w:uiPriority="67" w:unhideWhenUsed="0"/>
    <w:lsdException w:name="Medium Grid 2 Accent 3" w:semiHidden="0" w:uiPriority="68" w:unhideWhenUsed="0" w:qFormat="1"/>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qFormat="1"/>
    <w:lsdException w:name="Dark List Accent 4" w:semiHidden="0" w:uiPriority="70" w:unhideWhenUsed="0" w:qFormat="1"/>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1341</Words>
  <Characters>7650</Characters>
  <Application>Microsoft Office Word</Application>
  <DocSecurity>0</DocSecurity>
  <Lines>63</Lines>
  <Paragraphs>17</Paragraphs>
  <ScaleCrop>false</ScaleCrop>
  <Company>TKC</Company>
  <LinksUpToDate>false</LinksUpToDate>
  <CharactersWithSpaces>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Magic</cp:lastModifiedBy>
  <cp:revision>3</cp:revision>
  <dcterms:created xsi:type="dcterms:W3CDTF">2026-08-12T12:35:00Z</dcterms:created>
  <dcterms:modified xsi:type="dcterms:W3CDTF">2026-08-14T06:01:00Z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eyJoZGlkIjoiZjdhM2NmMzFkMzBmZDk2ZDI4YTc2MmI0NmE3MTE0YmQiLCJ1c2VySWQiOiIxMzkyMjY0NTg3NDAwIn0=</vt:lpwstr>
  </property>
  <property fmtid="{D5CDD505-2E9C-101B-9397-08002B2CF9AE}" pid="3" name="KSOProductBuildVer">
    <vt:lpwstr>1033-12.1.0.25862</vt:lpwstr>
  </property>
  <property fmtid="{D5CDD505-2E9C-101B-9397-08002B2CF9AE}" pid="4" name="ICV">
    <vt:lpwstr>3FCA43BCD07F4A5EB9B869A115E63582_13</vt:lpwstr>
  </property>
</Properties>
</file>